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8A" w:rsidRPr="00B1257E" w:rsidRDefault="00347A8A" w:rsidP="00347A8A">
      <w:pPr>
        <w:jc w:val="center"/>
        <w:rPr>
          <w:rFonts w:ascii="微軟正黑體" w:eastAsia="微軟正黑體" w:hAnsi="微軟正黑體" w:cs="華康中黑體"/>
          <w:b/>
          <w:bCs/>
          <w:sz w:val="56"/>
          <w:szCs w:val="52"/>
        </w:rPr>
      </w:pPr>
      <w:r w:rsidRPr="00B1257E">
        <w:rPr>
          <w:rFonts w:ascii="微軟正黑體" w:eastAsia="微軟正黑體" w:hAnsi="微軟正黑體" w:cs="華康中黑體" w:hint="eastAsia"/>
          <w:b/>
          <w:bCs/>
          <w:sz w:val="56"/>
          <w:szCs w:val="52"/>
        </w:rPr>
        <w:t>國立華南高商圖書館</w:t>
      </w:r>
      <w:proofErr w:type="gramStart"/>
      <w:r w:rsidRPr="00B1257E">
        <w:rPr>
          <w:rFonts w:ascii="微軟正黑體" w:eastAsia="微軟正黑體" w:hAnsi="微軟正黑體" w:cs="華康中黑體" w:hint="eastAsia"/>
          <w:b/>
          <w:bCs/>
          <w:sz w:val="56"/>
          <w:szCs w:val="52"/>
        </w:rPr>
        <w:t>新書薦購單</w:t>
      </w:r>
      <w:proofErr w:type="gramEnd"/>
    </w:p>
    <w:p w:rsidR="00854D34" w:rsidRPr="0096699E" w:rsidRDefault="00854D34" w:rsidP="002D7D1D">
      <w:pPr>
        <w:spacing w:line="520" w:lineRule="exact"/>
        <w:jc w:val="center"/>
        <w:rPr>
          <w:rFonts w:ascii="微軟正黑體" w:eastAsia="微軟正黑體" w:hAnsi="微軟正黑體" w:cs="華康中黑體"/>
          <w:b/>
          <w:bCs/>
          <w:sz w:val="28"/>
          <w:szCs w:val="24"/>
          <w:shd w:val="pct15" w:color="auto" w:fill="FFFFFF"/>
        </w:rPr>
      </w:pPr>
    </w:p>
    <w:p w:rsidR="00347A8A" w:rsidRPr="00347A8A" w:rsidRDefault="00347A8A" w:rsidP="00D8652A">
      <w:pPr>
        <w:spacing w:line="440" w:lineRule="exact"/>
        <w:jc w:val="center"/>
        <w:rPr>
          <w:rFonts w:ascii="微軟正黑體" w:eastAsia="微軟正黑體" w:hAnsi="微軟正黑體" w:cs="華康中黑體"/>
          <w:b/>
          <w:bCs/>
          <w:sz w:val="32"/>
          <w:szCs w:val="28"/>
          <w:shd w:val="pct15" w:color="auto" w:fill="FFFFFF"/>
        </w:rPr>
      </w:pPr>
      <w:proofErr w:type="gramStart"/>
      <w:r w:rsidRPr="000D28B2">
        <w:rPr>
          <w:rFonts w:ascii="微軟正黑體" w:eastAsia="微軟正黑體" w:hAnsi="微軟正黑體" w:cs="華康中黑體" w:hint="eastAsia"/>
          <w:b/>
          <w:bCs/>
          <w:sz w:val="36"/>
          <w:szCs w:val="32"/>
        </w:rPr>
        <w:t>圖書薦購須知</w:t>
      </w:r>
      <w:proofErr w:type="gramEnd"/>
      <w:r w:rsidRPr="00347A8A">
        <w:rPr>
          <w:rFonts w:ascii="微軟正黑體" w:eastAsia="微軟正黑體" w:hAnsi="微軟正黑體" w:cs="華康中黑體" w:hint="eastAsia"/>
          <w:sz w:val="20"/>
          <w:szCs w:val="18"/>
        </w:rPr>
        <w:t>(與</w:t>
      </w:r>
      <w:proofErr w:type="gramStart"/>
      <w:r w:rsidRPr="00347A8A">
        <w:rPr>
          <w:rFonts w:ascii="微軟正黑體" w:eastAsia="微軟正黑體" w:hAnsi="微軟正黑體" w:cs="華康中黑體" w:hint="eastAsia"/>
          <w:sz w:val="20"/>
          <w:szCs w:val="18"/>
        </w:rPr>
        <w:t>線上圖書薦</w:t>
      </w:r>
      <w:proofErr w:type="gramEnd"/>
      <w:r w:rsidRPr="00347A8A">
        <w:rPr>
          <w:rFonts w:ascii="微軟正黑體" w:eastAsia="微軟正黑體" w:hAnsi="微軟正黑體" w:cs="華康中黑體" w:hint="eastAsia"/>
          <w:sz w:val="20"/>
          <w:szCs w:val="18"/>
        </w:rPr>
        <w:t>購系統同步，自112年05月16日開始實施)</w:t>
      </w:r>
    </w:p>
    <w:p w:rsidR="00347A8A" w:rsidRPr="00B1257E" w:rsidRDefault="00347A8A" w:rsidP="00CB2E65">
      <w:pPr>
        <w:spacing w:line="160" w:lineRule="exact"/>
        <w:rPr>
          <w:rFonts w:ascii="微軟正黑體" w:eastAsia="微軟正黑體" w:hAnsi="微軟正黑體" w:cs="華康中黑體"/>
        </w:rPr>
      </w:pPr>
    </w:p>
    <w:p w:rsidR="00347A8A" w:rsidRPr="00347A8A" w:rsidRDefault="00347A8A" w:rsidP="00841869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親愛的讀者～非常感謝您的推薦，在推薦之前，請先閱讀以下幾點：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1.所推薦之圖書資料，須經審議通過方納入採購清單。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2.因圖書資料經費有限，推薦者學生每人每月可推薦3冊，教師每人每月可推薦5冊。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3.</w:t>
      </w:r>
      <w:proofErr w:type="gramStart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薦購圖書</w:t>
      </w:r>
      <w:proofErr w:type="gramEnd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不予採購原則，大致說明如下: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（1）推薦本館</w:t>
      </w:r>
      <w:proofErr w:type="gramStart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已有館藏</w:t>
      </w:r>
      <w:proofErr w:type="gramEnd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或已絕版圖書。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（2）重複推薦圖書(已有人推薦)或已有人推薦多數同類型圖書。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（3）該書已購置，於編目作業中。</w:t>
      </w:r>
    </w:p>
    <w:p w:rsidR="00347A8A" w:rsidRPr="00347A8A" w:rsidRDefault="00470E4E" w:rsidP="009A448C">
      <w:pPr>
        <w:spacing w:line="400" w:lineRule="exact"/>
        <w:ind w:firstLineChars="50" w:firstLine="280"/>
        <w:rPr>
          <w:rFonts w:ascii="微軟正黑體" w:eastAsia="微軟正黑體" w:hAnsi="微軟正黑體" w:cs="華康中黑體"/>
          <w:sz w:val="28"/>
          <w:szCs w:val="24"/>
        </w:rPr>
      </w:pPr>
      <w:r>
        <w:rPr>
          <w:rFonts w:ascii="微軟正黑體" w:eastAsia="微軟正黑體" w:hAnsi="微軟正黑體" w:cs="華康中黑體" w:hint="eastAsia"/>
          <w:b/>
          <w:bCs/>
          <w:noProof/>
          <w:sz w:val="56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6249035</wp:posOffset>
            </wp:positionH>
            <wp:positionV relativeFrom="paragraph">
              <wp:posOffset>208280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薦購系統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47A8A" w:rsidRPr="00347A8A">
        <w:rPr>
          <w:rFonts w:ascii="微軟正黑體" w:eastAsia="微軟正黑體" w:hAnsi="微軟正黑體" w:cs="華康中黑體" w:hint="eastAsia"/>
          <w:sz w:val="28"/>
          <w:szCs w:val="24"/>
        </w:rPr>
        <w:t>（4）單價較高，因購書經費分配問題，暫不購置。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（5）部份冊</w:t>
      </w:r>
      <w:proofErr w:type="gramStart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數售缺</w:t>
      </w:r>
      <w:proofErr w:type="gramEnd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，無法提供讀者完整資訊，暫不購置。</w:t>
      </w:r>
    </w:p>
    <w:p w:rsidR="00470E4E" w:rsidRDefault="00347A8A" w:rsidP="00470E4E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（6）練習本、活頁書、日記本、筆記本、著色本、貼紙書、考試測驗題</w:t>
      </w:r>
    </w:p>
    <w:p w:rsidR="00E259F0" w:rsidRDefault="00470E4E" w:rsidP="00470E4E">
      <w:pPr>
        <w:spacing w:line="400" w:lineRule="exact"/>
        <w:ind w:firstLineChars="354" w:firstLine="991"/>
        <w:rPr>
          <w:rFonts w:ascii="微軟正黑體" w:eastAsia="微軟正黑體" w:hAnsi="微軟正黑體" w:cs="華康中黑體"/>
          <w:sz w:val="28"/>
          <w:szCs w:val="24"/>
        </w:rPr>
      </w:pPr>
      <w:r w:rsidRPr="00470E4E">
        <w:rPr>
          <w:rFonts w:ascii="微軟正黑體" w:eastAsia="微軟正黑體" w:hAnsi="微軟正黑體" w:cs="華康中黑體"/>
          <w:b/>
          <w:bCs/>
          <w:noProof/>
          <w:sz w:val="28"/>
          <w:szCs w:val="24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page">
                  <wp:posOffset>6207760</wp:posOffset>
                </wp:positionH>
                <wp:positionV relativeFrom="paragraph">
                  <wp:posOffset>11430</wp:posOffset>
                </wp:positionV>
                <wp:extent cx="1343025" cy="598805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E4E" w:rsidRPr="00470E4E" w:rsidRDefault="00470E4E" w:rsidP="00470E4E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470E4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線上圖書薦購</w:t>
                            </w:r>
                            <w:proofErr w:type="gramEnd"/>
                            <w:r w:rsidRPr="00470E4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系統</w:t>
                            </w:r>
                          </w:p>
                          <w:p w:rsidR="00470E4E" w:rsidRPr="00470E4E" w:rsidRDefault="00470E4E" w:rsidP="00470E4E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18"/>
                              </w:rPr>
                            </w:pPr>
                            <w:r w:rsidRPr="00470E4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8"/>
                              </w:rPr>
                              <w:t>歡迎使用！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8.8pt;margin-top:.9pt;width:105.75pt;height:47.1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YcNwIAACEEAAAOAAAAZHJzL2Uyb0RvYy54bWysU11u2zAMfh+wOwh6X+y4yZoYcYouXYYB&#10;3Q/Q7QCyLMfCJNGTlNjdBQrsAN3zDrAD7EDtOUbJaZptb8P8IJAm+ZH8SC7Oeq3ITlgnwRR0PEop&#10;EYZDJc2moB8/rJ/NKHGemYopMKKg18LRs+XTJ4uuzUUGDahKWIIgxuVdW9DG+zZPEscboZkbQSsM&#10;GmuwmnlU7SapLOsQXaskS9PnSQe2ai1w4Rz+vRiMdBnx61pw/66unfBEFRRr8/G18S3DmywXLN9Y&#10;1jaS78tg/1CFZtJg0gPUBfOMbK38C0pLbsFB7UccdAJ1LbmIPWA34/SPbq4a1orYC5Lj2gNN7v/B&#10;8re795bIqqDZ+JQSwzQO6f725u7Ht/vbn3ffv5IscNS1LkfXqxadff8Cepx17Ne1l8A/OWJg1TCz&#10;EefWQtcIVmGN4xCZHIUOOC6AlN0bqDAV23qIQH1tdSAQKSGIjrO6PsxH9J7wkPJkcpJmU0o42qbz&#10;2SydxhQsf4hurfOvBGgShIJanH9EZ7tL50M1LH9wCckcKFmtpVJRsZtypSzZMdyVdfz26L+5KUO6&#10;gs6nWEeIMhDi4xpp6XGXldQFnaXhC+EsD2y8NFWUPZNqkLESZfb0BEYGbnxf9ugYOCuhukaiLAw7&#10;izeGQgP2CyUd7mtB3ects4IS9dog2fPxZBIWPCqT6WmGij22lMcWZjhCFdRTMogrH49i6Ogch1LL&#10;yNdjJftacQ8jjfubCYt+rEevx8te/gIAAP//AwBQSwMEFAAGAAgAAAAhAEy73anbAAAACQEAAA8A&#10;AABkcnMvZG93bnJldi54bWxMj91Og0AQhe9NfIfNmHhj7IJRKMjSqInG2/48wABTILKzhN0W+vZO&#10;r/Ry8p2c+U6xWeygzjT53rGBeBWBIq5d03Nr4LD/fFyD8gG5wcExGbiQh015e1Ng3riZt3TehVZJ&#10;CfscDXQhjLnWvu7Iol+5kVjY0U0Wg5xTq5sJZym3g36KokRb7Fk+dDjSR0f1z+5kDRy/54eXbK6+&#10;wiHdPifv2KeVuxhzf7e8vYIKtIS/MFz1RR1KcarciRuvBgNZmiYSFSALrjxeZzGoSkgSgy4L/X9B&#10;+QsAAP//AwBQSwECLQAUAAYACAAAACEAtoM4kv4AAADhAQAAEwAAAAAAAAAAAAAAAAAAAAAAW0Nv&#10;bnRlbnRfVHlwZXNdLnhtbFBLAQItABQABgAIAAAAIQA4/SH/1gAAAJQBAAALAAAAAAAAAAAAAAAA&#10;AC8BAABfcmVscy8ucmVsc1BLAQItABQABgAIAAAAIQC1u/YcNwIAACEEAAAOAAAAAAAAAAAAAAAA&#10;AC4CAABkcnMvZTJvRG9jLnhtbFBLAQItABQABgAIAAAAIQBMu92p2wAAAAkBAAAPAAAAAAAAAAAA&#10;AAAAAJEEAABkcnMvZG93bnJldi54bWxQSwUGAAAAAAQABADzAAAAmQUAAAAA&#10;" stroked="f">
                <v:textbox>
                  <w:txbxContent>
                    <w:p w:rsidR="00470E4E" w:rsidRPr="00470E4E" w:rsidRDefault="00470E4E" w:rsidP="00470E4E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18"/>
                        </w:rPr>
                      </w:pPr>
                      <w:proofErr w:type="gramStart"/>
                      <w:r w:rsidRPr="00470E4E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線上圖書薦購</w:t>
                      </w:r>
                      <w:proofErr w:type="gramEnd"/>
                      <w:r w:rsidRPr="00470E4E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系統</w:t>
                      </w:r>
                    </w:p>
                    <w:p w:rsidR="00470E4E" w:rsidRPr="00470E4E" w:rsidRDefault="00470E4E" w:rsidP="00470E4E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</w:pPr>
                      <w:r w:rsidRPr="00470E4E">
                        <w:rPr>
                          <w:rFonts w:ascii="微軟正黑體" w:eastAsia="微軟正黑體" w:hAnsi="微軟正黑體" w:hint="eastAsia"/>
                          <w:sz w:val="20"/>
                          <w:szCs w:val="18"/>
                        </w:rPr>
                        <w:t>歡迎使用！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7A8A" w:rsidRPr="00347A8A">
        <w:rPr>
          <w:rFonts w:ascii="微軟正黑體" w:eastAsia="微軟正黑體" w:hAnsi="微軟正黑體" w:cs="華康中黑體" w:hint="eastAsia"/>
          <w:sz w:val="28"/>
          <w:szCs w:val="24"/>
        </w:rPr>
        <w:t>庫、</w:t>
      </w:r>
      <w:r w:rsidR="00E259F0">
        <w:rPr>
          <w:rFonts w:ascii="微軟正黑體" w:eastAsia="微軟正黑體" w:hAnsi="微軟正黑體" w:cs="華康中黑體" w:hint="eastAsia"/>
          <w:sz w:val="28"/>
          <w:szCs w:val="24"/>
        </w:rPr>
        <w:t>簡體書、</w:t>
      </w:r>
      <w:r w:rsidR="00347A8A" w:rsidRPr="00347A8A">
        <w:rPr>
          <w:rFonts w:ascii="微軟正黑體" w:eastAsia="微軟正黑體" w:hAnsi="微軟正黑體" w:cs="華康中黑體" w:hint="eastAsia"/>
          <w:sz w:val="28"/>
          <w:szCs w:val="24"/>
        </w:rPr>
        <w:t>內容</w:t>
      </w:r>
      <w:proofErr w:type="gramStart"/>
      <w:r w:rsidR="00347A8A" w:rsidRPr="00347A8A">
        <w:rPr>
          <w:rFonts w:ascii="微軟正黑體" w:eastAsia="微軟正黑體" w:hAnsi="微軟正黑體" w:cs="華康中黑體" w:hint="eastAsia"/>
          <w:sz w:val="28"/>
          <w:szCs w:val="24"/>
        </w:rPr>
        <w:t>不宜供眾閱覽</w:t>
      </w:r>
      <w:proofErr w:type="gramEnd"/>
      <w:r w:rsidR="00347A8A" w:rsidRPr="00347A8A">
        <w:rPr>
          <w:rFonts w:ascii="微軟正黑體" w:eastAsia="微軟正黑體" w:hAnsi="微軟正黑體" w:cs="華康中黑體" w:hint="eastAsia"/>
          <w:sz w:val="28"/>
          <w:szCs w:val="24"/>
        </w:rPr>
        <w:t>等未符合本館館藏政策之圖書不予</w:t>
      </w:r>
    </w:p>
    <w:p w:rsidR="00347A8A" w:rsidRPr="00347A8A" w:rsidRDefault="00347A8A" w:rsidP="00470E4E">
      <w:pPr>
        <w:spacing w:line="400" w:lineRule="exact"/>
        <w:ind w:firstLineChars="354" w:firstLine="991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購置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（7）教科書、宗教書籍、言情小說及不適內容之小說等</w:t>
      </w:r>
      <w:proofErr w:type="gramStart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不</w:t>
      </w:r>
      <w:proofErr w:type="gramEnd"/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購。</w:t>
      </w:r>
    </w:p>
    <w:p w:rsidR="00347A8A" w:rsidRPr="00347A8A" w:rsidRDefault="00347A8A" w:rsidP="00347A8A">
      <w:pPr>
        <w:spacing w:line="400" w:lineRule="exact"/>
        <w:ind w:firstLineChars="100" w:firstLine="280"/>
        <w:rPr>
          <w:rFonts w:ascii="微軟正黑體" w:eastAsia="微軟正黑體" w:hAnsi="微軟正黑體" w:cs="華康中黑體"/>
          <w:sz w:val="28"/>
          <w:szCs w:val="24"/>
        </w:rPr>
      </w:pP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（8）推薦書籍儘量以近二年</w:t>
      </w:r>
      <w:r w:rsidR="00E259F0">
        <w:rPr>
          <w:rFonts w:ascii="微軟正黑體" w:eastAsia="微軟正黑體" w:hAnsi="微軟正黑體" w:cs="華康中黑體" w:hint="eastAsia"/>
          <w:sz w:val="28"/>
          <w:szCs w:val="24"/>
        </w:rPr>
        <w:t>與教育學習內容</w:t>
      </w:r>
      <w:r w:rsidRPr="00347A8A">
        <w:rPr>
          <w:rFonts w:ascii="微軟正黑體" w:eastAsia="微軟正黑體" w:hAnsi="微軟正黑體" w:cs="華康中黑體" w:hint="eastAsia"/>
          <w:sz w:val="28"/>
          <w:szCs w:val="24"/>
        </w:rPr>
        <w:t>為優先，需合理分配每位讀者權益。</w:t>
      </w:r>
    </w:p>
    <w:p w:rsidR="00854D34" w:rsidRDefault="00854D34" w:rsidP="00347A8A">
      <w:pPr>
        <w:rPr>
          <w:rFonts w:ascii="華康中黑體" w:eastAsia="華康中黑體" w:hAnsi="華康中黑體" w:cs="華康中黑體"/>
        </w:rPr>
      </w:pPr>
    </w:p>
    <w:p w:rsidR="00D42194" w:rsidRDefault="00D42194" w:rsidP="00347A8A">
      <w:pPr>
        <w:rPr>
          <w:rFonts w:ascii="華康中黑體" w:eastAsia="華康中黑體" w:hAnsi="華康中黑體" w:cs="華康中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43"/>
        <w:gridCol w:w="2180"/>
        <w:gridCol w:w="2180"/>
        <w:gridCol w:w="2272"/>
      </w:tblGrid>
      <w:tr w:rsidR="00D42194" w:rsidTr="009C4296">
        <w:tc>
          <w:tcPr>
            <w:tcW w:w="10904" w:type="dxa"/>
            <w:gridSpan w:val="5"/>
          </w:tcPr>
          <w:p w:rsidR="00D42194" w:rsidRPr="00834A6C" w:rsidRDefault="00D42194" w:rsidP="00347A8A">
            <w:pPr>
              <w:jc w:val="center"/>
              <w:rPr>
                <w:rFonts w:ascii="微軟正黑體" w:eastAsia="微軟正黑體" w:hAnsi="微軟正黑體" w:cs="華康中黑體"/>
              </w:rPr>
            </w:pPr>
            <w:r w:rsidRPr="00834A6C">
              <w:rPr>
                <w:rFonts w:ascii="微軟正黑體" w:eastAsia="微軟正黑體" w:hAnsi="微軟正黑體" w:cs="華康中黑體" w:hint="eastAsia"/>
                <w:sz w:val="32"/>
                <w:szCs w:val="28"/>
              </w:rPr>
              <w:t>推薦人：</w:t>
            </w:r>
            <w:r w:rsidRPr="00834A6C"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          </w:t>
            </w:r>
            <w:r w:rsidRPr="00834A6C">
              <w:rPr>
                <w:rFonts w:ascii="微軟正黑體" w:eastAsia="微軟正黑體" w:hAnsi="微軟正黑體" w:cs="華康中黑體" w:hint="eastAsia"/>
                <w:u w:val="single"/>
              </w:rPr>
              <w:t>(單位/班級)</w:t>
            </w:r>
            <w:r w:rsidRPr="00834A6C"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             </w:t>
            </w:r>
            <w:r w:rsidRPr="00834A6C">
              <w:rPr>
                <w:rFonts w:ascii="微軟正黑體" w:eastAsia="微軟正黑體" w:hAnsi="微軟正黑體" w:cs="華康中黑體" w:hint="eastAsia"/>
                <w:u w:val="single"/>
              </w:rPr>
              <w:t>(姓名)</w:t>
            </w:r>
            <w:r w:rsidRPr="00834A6C">
              <w:rPr>
                <w:rFonts w:ascii="微軟正黑體" w:eastAsia="微軟正黑體" w:hAnsi="微軟正黑體" w:cs="華康中黑體" w:hint="eastAsia"/>
              </w:rPr>
              <w:t xml:space="preserve">        </w:t>
            </w:r>
            <w:r w:rsidRPr="00834A6C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Pr="00834A6C"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 </w:t>
            </w:r>
            <w:r w:rsidRPr="00834A6C"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年   月 </w:t>
            </w:r>
            <w:r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 </w:t>
            </w:r>
            <w:r w:rsidRPr="00834A6C">
              <w:rPr>
                <w:rFonts w:ascii="微軟正黑體" w:eastAsia="微軟正黑體" w:hAnsi="微軟正黑體" w:cs="華康中黑體" w:hint="eastAsia"/>
                <w:sz w:val="32"/>
                <w:szCs w:val="28"/>
                <w:u w:val="single"/>
              </w:rPr>
              <w:t xml:space="preserve"> 日</w:t>
            </w:r>
          </w:p>
        </w:tc>
      </w:tr>
      <w:tr w:rsidR="00D42194" w:rsidTr="00D42194">
        <w:trPr>
          <w:trHeight w:val="481"/>
        </w:trPr>
        <w:tc>
          <w:tcPr>
            <w:tcW w:w="1129" w:type="dxa"/>
          </w:tcPr>
          <w:p w:rsidR="00D42194" w:rsidRPr="00347A8A" w:rsidRDefault="00D42194" w:rsidP="00347A8A">
            <w:pPr>
              <w:jc w:val="center"/>
              <w:rPr>
                <w:rFonts w:ascii="華康中黑體" w:eastAsia="華康中黑體" w:hAnsi="華康中黑體" w:cs="華康中黑體"/>
                <w:b/>
                <w:bCs/>
                <w:sz w:val="36"/>
                <w:szCs w:val="32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z w:val="36"/>
                <w:szCs w:val="32"/>
              </w:rPr>
              <w:t>編號</w:t>
            </w:r>
          </w:p>
        </w:tc>
        <w:tc>
          <w:tcPr>
            <w:tcW w:w="3143" w:type="dxa"/>
          </w:tcPr>
          <w:p w:rsidR="00D42194" w:rsidRPr="00347A8A" w:rsidRDefault="00D42194" w:rsidP="00347A8A">
            <w:pPr>
              <w:jc w:val="center"/>
              <w:rPr>
                <w:rFonts w:ascii="華康中黑體" w:eastAsia="華康中黑體" w:hAnsi="華康中黑體" w:cs="華康中黑體"/>
                <w:b/>
                <w:bCs/>
                <w:sz w:val="36"/>
                <w:szCs w:val="32"/>
              </w:rPr>
            </w:pPr>
            <w:r w:rsidRPr="00347A8A">
              <w:rPr>
                <w:rFonts w:ascii="華康中黑體" w:eastAsia="華康中黑體" w:hAnsi="華康中黑體" w:cs="華康中黑體" w:hint="eastAsia"/>
                <w:b/>
                <w:bCs/>
                <w:sz w:val="36"/>
                <w:szCs w:val="32"/>
              </w:rPr>
              <w:t>書名</w:t>
            </w:r>
          </w:p>
        </w:tc>
        <w:tc>
          <w:tcPr>
            <w:tcW w:w="2180" w:type="dxa"/>
          </w:tcPr>
          <w:p w:rsidR="00D42194" w:rsidRPr="00347A8A" w:rsidRDefault="00D42194" w:rsidP="00347A8A">
            <w:pPr>
              <w:jc w:val="center"/>
              <w:rPr>
                <w:rFonts w:ascii="華康中黑體" w:eastAsia="華康中黑體" w:hAnsi="華康中黑體" w:cs="華康中黑體"/>
                <w:b/>
                <w:bCs/>
                <w:sz w:val="36"/>
                <w:szCs w:val="32"/>
              </w:rPr>
            </w:pPr>
            <w:r w:rsidRPr="00347A8A">
              <w:rPr>
                <w:rFonts w:ascii="華康中黑體" w:eastAsia="華康中黑體" w:hAnsi="華康中黑體" w:cs="華康中黑體" w:hint="eastAsia"/>
                <w:b/>
                <w:bCs/>
                <w:sz w:val="36"/>
                <w:szCs w:val="32"/>
              </w:rPr>
              <w:t>作者</w:t>
            </w:r>
          </w:p>
        </w:tc>
        <w:tc>
          <w:tcPr>
            <w:tcW w:w="2180" w:type="dxa"/>
          </w:tcPr>
          <w:p w:rsidR="00D42194" w:rsidRPr="00347A8A" w:rsidRDefault="00D42194" w:rsidP="00347A8A">
            <w:pPr>
              <w:jc w:val="center"/>
              <w:rPr>
                <w:rFonts w:ascii="華康中黑體" w:eastAsia="華康中黑體" w:hAnsi="華康中黑體" w:cs="華康中黑體"/>
                <w:b/>
                <w:bCs/>
                <w:sz w:val="36"/>
                <w:szCs w:val="32"/>
              </w:rPr>
            </w:pPr>
            <w:r w:rsidRPr="00347A8A">
              <w:rPr>
                <w:rFonts w:ascii="華康中黑體" w:eastAsia="華康中黑體" w:hAnsi="華康中黑體" w:cs="華康中黑體" w:hint="eastAsia"/>
                <w:b/>
                <w:bCs/>
                <w:sz w:val="36"/>
                <w:szCs w:val="32"/>
              </w:rPr>
              <w:t>出版者</w:t>
            </w:r>
          </w:p>
        </w:tc>
        <w:tc>
          <w:tcPr>
            <w:tcW w:w="2272" w:type="dxa"/>
          </w:tcPr>
          <w:p w:rsidR="00D42194" w:rsidRPr="00347A8A" w:rsidRDefault="00D42194" w:rsidP="00347A8A">
            <w:pPr>
              <w:jc w:val="center"/>
              <w:rPr>
                <w:rFonts w:ascii="華康中黑體" w:eastAsia="華康中黑體" w:hAnsi="華康中黑體" w:cs="華康中黑體"/>
                <w:b/>
                <w:bCs/>
                <w:sz w:val="36"/>
                <w:szCs w:val="32"/>
              </w:rPr>
            </w:pPr>
            <w:r w:rsidRPr="00347A8A">
              <w:rPr>
                <w:rFonts w:ascii="華康中黑體" w:eastAsia="華康中黑體" w:hAnsi="華康中黑體" w:cs="華康中黑體" w:hint="eastAsia"/>
                <w:b/>
                <w:bCs/>
                <w:sz w:val="36"/>
                <w:szCs w:val="32"/>
              </w:rPr>
              <w:t>I</w:t>
            </w:r>
            <w:r w:rsidRPr="00347A8A">
              <w:rPr>
                <w:rFonts w:ascii="華康中黑體" w:eastAsia="華康中黑體" w:hAnsi="華康中黑體" w:cs="華康中黑體"/>
                <w:b/>
                <w:bCs/>
                <w:sz w:val="36"/>
                <w:szCs w:val="32"/>
              </w:rPr>
              <w:t>SBN</w:t>
            </w:r>
          </w:p>
        </w:tc>
      </w:tr>
      <w:tr w:rsidR="00D42194" w:rsidTr="00694F76">
        <w:tc>
          <w:tcPr>
            <w:tcW w:w="1129" w:type="dxa"/>
            <w:vAlign w:val="center"/>
          </w:tcPr>
          <w:p w:rsidR="00D42194" w:rsidRPr="00694F76" w:rsidRDefault="00D42194" w:rsidP="00694F76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2"/>
              </w:rPr>
            </w:pPr>
            <w:r w:rsidRPr="00694F76">
              <w:rPr>
                <w:rFonts w:ascii="華康中黑體" w:eastAsia="華康中黑體" w:hAnsi="華康中黑體" w:cs="華康中黑體" w:hint="eastAsia"/>
                <w:sz w:val="36"/>
                <w:szCs w:val="32"/>
              </w:rPr>
              <w:t>1</w:t>
            </w:r>
          </w:p>
        </w:tc>
        <w:tc>
          <w:tcPr>
            <w:tcW w:w="3143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272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D42194" w:rsidTr="00694F76">
        <w:tc>
          <w:tcPr>
            <w:tcW w:w="1129" w:type="dxa"/>
            <w:vAlign w:val="center"/>
          </w:tcPr>
          <w:p w:rsidR="00D42194" w:rsidRPr="00694F76" w:rsidRDefault="00D42194" w:rsidP="00694F76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2"/>
              </w:rPr>
            </w:pPr>
            <w:r w:rsidRPr="00694F76">
              <w:rPr>
                <w:rFonts w:ascii="華康中黑體" w:eastAsia="華康中黑體" w:hAnsi="華康中黑體" w:cs="華康中黑體" w:hint="eastAsia"/>
                <w:sz w:val="36"/>
                <w:szCs w:val="32"/>
              </w:rPr>
              <w:t>2</w:t>
            </w:r>
          </w:p>
        </w:tc>
        <w:tc>
          <w:tcPr>
            <w:tcW w:w="3143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272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D42194" w:rsidTr="00694F76">
        <w:tc>
          <w:tcPr>
            <w:tcW w:w="1129" w:type="dxa"/>
            <w:vAlign w:val="center"/>
          </w:tcPr>
          <w:p w:rsidR="00D42194" w:rsidRPr="00694F76" w:rsidRDefault="00D42194" w:rsidP="00694F76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2"/>
              </w:rPr>
            </w:pPr>
            <w:r w:rsidRPr="00694F76">
              <w:rPr>
                <w:rFonts w:ascii="華康中黑體" w:eastAsia="華康中黑體" w:hAnsi="華康中黑體" w:cs="華康中黑體" w:hint="eastAsia"/>
                <w:sz w:val="36"/>
                <w:szCs w:val="32"/>
              </w:rPr>
              <w:t>3</w:t>
            </w:r>
          </w:p>
        </w:tc>
        <w:tc>
          <w:tcPr>
            <w:tcW w:w="3143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272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D42194" w:rsidTr="00694F76">
        <w:tc>
          <w:tcPr>
            <w:tcW w:w="1129" w:type="dxa"/>
            <w:vAlign w:val="center"/>
          </w:tcPr>
          <w:p w:rsidR="00D42194" w:rsidRPr="00694F76" w:rsidRDefault="00D42194" w:rsidP="00694F76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2"/>
              </w:rPr>
            </w:pPr>
            <w:r w:rsidRPr="00694F76">
              <w:rPr>
                <w:rFonts w:ascii="華康中黑體" w:eastAsia="華康中黑體" w:hAnsi="華康中黑體" w:cs="華康中黑體" w:hint="eastAsia"/>
                <w:sz w:val="36"/>
                <w:szCs w:val="32"/>
              </w:rPr>
              <w:t>4</w:t>
            </w:r>
          </w:p>
        </w:tc>
        <w:tc>
          <w:tcPr>
            <w:tcW w:w="3143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272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  <w:tr w:rsidR="00D42194" w:rsidTr="00694F76">
        <w:tc>
          <w:tcPr>
            <w:tcW w:w="1129" w:type="dxa"/>
            <w:vAlign w:val="center"/>
          </w:tcPr>
          <w:p w:rsidR="00D42194" w:rsidRPr="00694F76" w:rsidRDefault="00D42194" w:rsidP="00694F76">
            <w:pPr>
              <w:jc w:val="center"/>
              <w:rPr>
                <w:rFonts w:ascii="華康中黑體" w:eastAsia="華康中黑體" w:hAnsi="華康中黑體" w:cs="華康中黑體"/>
                <w:sz w:val="36"/>
                <w:szCs w:val="32"/>
              </w:rPr>
            </w:pPr>
            <w:r w:rsidRPr="00694F76">
              <w:rPr>
                <w:rFonts w:ascii="華康中黑體" w:eastAsia="華康中黑體" w:hAnsi="華康中黑體" w:cs="華康中黑體" w:hint="eastAsia"/>
                <w:sz w:val="36"/>
                <w:szCs w:val="32"/>
              </w:rPr>
              <w:t>5</w:t>
            </w:r>
          </w:p>
        </w:tc>
        <w:tc>
          <w:tcPr>
            <w:tcW w:w="3143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180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  <w:tc>
          <w:tcPr>
            <w:tcW w:w="2272" w:type="dxa"/>
          </w:tcPr>
          <w:p w:rsidR="00D42194" w:rsidRDefault="00D42194" w:rsidP="00D42194">
            <w:pPr>
              <w:jc w:val="center"/>
              <w:rPr>
                <w:rFonts w:ascii="華康中黑體" w:eastAsia="華康中黑體" w:hAnsi="華康中黑體" w:cs="華康中黑體"/>
              </w:rPr>
            </w:pPr>
          </w:p>
        </w:tc>
      </w:tr>
    </w:tbl>
    <w:p w:rsidR="00347A8A" w:rsidRPr="00347A8A" w:rsidRDefault="00347A8A" w:rsidP="00D42194">
      <w:pPr>
        <w:jc w:val="center"/>
        <w:rPr>
          <w:rFonts w:ascii="華康中黑體" w:eastAsia="華康中黑體" w:hAnsi="華康中黑體" w:cs="華康中黑體"/>
        </w:rPr>
      </w:pPr>
    </w:p>
    <w:sectPr w:rsidR="00347A8A" w:rsidRPr="00347A8A" w:rsidSect="00560A51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98" w:rsidRDefault="00E60998" w:rsidP="00470E4E">
      <w:r>
        <w:separator/>
      </w:r>
    </w:p>
  </w:endnote>
  <w:endnote w:type="continuationSeparator" w:id="0">
    <w:p w:rsidR="00E60998" w:rsidRDefault="00E60998" w:rsidP="004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98" w:rsidRDefault="00E60998" w:rsidP="00470E4E">
      <w:r>
        <w:separator/>
      </w:r>
    </w:p>
  </w:footnote>
  <w:footnote w:type="continuationSeparator" w:id="0">
    <w:p w:rsidR="00E60998" w:rsidRDefault="00E60998" w:rsidP="0047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A"/>
    <w:rsid w:val="000D28B2"/>
    <w:rsid w:val="00167C07"/>
    <w:rsid w:val="00184049"/>
    <w:rsid w:val="001E1281"/>
    <w:rsid w:val="002D7D1D"/>
    <w:rsid w:val="00303B02"/>
    <w:rsid w:val="00347A8A"/>
    <w:rsid w:val="004168B3"/>
    <w:rsid w:val="00470E4E"/>
    <w:rsid w:val="00492F89"/>
    <w:rsid w:val="00560A51"/>
    <w:rsid w:val="005C1912"/>
    <w:rsid w:val="00644601"/>
    <w:rsid w:val="00694F76"/>
    <w:rsid w:val="00791077"/>
    <w:rsid w:val="007E5649"/>
    <w:rsid w:val="00804E0D"/>
    <w:rsid w:val="00834A6C"/>
    <w:rsid w:val="00841869"/>
    <w:rsid w:val="00854D34"/>
    <w:rsid w:val="0089084A"/>
    <w:rsid w:val="0096699E"/>
    <w:rsid w:val="009A448C"/>
    <w:rsid w:val="00A90C21"/>
    <w:rsid w:val="00B1257E"/>
    <w:rsid w:val="00B3448E"/>
    <w:rsid w:val="00C24096"/>
    <w:rsid w:val="00CB2E65"/>
    <w:rsid w:val="00CC324F"/>
    <w:rsid w:val="00D42194"/>
    <w:rsid w:val="00D8652A"/>
    <w:rsid w:val="00E259F0"/>
    <w:rsid w:val="00E60998"/>
    <w:rsid w:val="00F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E315"/>
  <w15:chartTrackingRefBased/>
  <w15:docId w15:val="{D1C1767B-5793-4603-B18F-03CE828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E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E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56</cp:revision>
  <dcterms:created xsi:type="dcterms:W3CDTF">2023-08-03T05:06:00Z</dcterms:created>
  <dcterms:modified xsi:type="dcterms:W3CDTF">2023-08-03T05:49:00Z</dcterms:modified>
</cp:coreProperties>
</file>